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0E83" w14:textId="41425D65" w:rsidR="00E109EB" w:rsidRDefault="00E109EB" w:rsidP="00E109EB">
      <w:r>
        <w:t xml:space="preserve">Supplemental </w:t>
      </w:r>
      <w:r>
        <w:t>D</w:t>
      </w:r>
      <w:r>
        <w:t>ata</w:t>
      </w:r>
    </w:p>
    <w:p w14:paraId="3BFD5573" w14:textId="7881AFA9" w:rsidR="00E109EB" w:rsidRDefault="00E109EB" w:rsidP="00E109EB">
      <w:r>
        <w:t>Supplemental table 1.  Effect of adjustment for patient characteristics, socioeconomic determinants, and environmental air quality, on the association of a 0.01 mg/L higher 90</w:t>
      </w:r>
      <w:r w:rsidRPr="00D56032">
        <w:rPr>
          <w:vertAlign w:val="superscript"/>
        </w:rPr>
        <w:t>th</w:t>
      </w:r>
      <w:r>
        <w:t xml:space="preserve"> percentile lead level on hemoglobin concentrations and Erythropoietin Stimulating Agent use.</w:t>
      </w:r>
    </w:p>
    <w:p w14:paraId="1C60521F" w14:textId="7321E488" w:rsidR="00E109EB" w:rsidRDefault="00E109EB" w:rsidP="00E109EB">
      <w:r>
        <w:t>Supplemental figure 1. Flow chart outlining merge of Safe Drinking Water Information System and United States Renal Data System to create complete dataset of 597,968 unique ESKD patients.</w:t>
      </w:r>
    </w:p>
    <w:p w14:paraId="18F218D5" w14:textId="5C5822CD" w:rsidR="00E109EB" w:rsidRDefault="00E109EB" w:rsidP="00E109EB">
      <w:r>
        <w:t xml:space="preserve">Supplemental figure 2. </w:t>
      </w:r>
      <w:r w:rsidRPr="00A65793">
        <w:t xml:space="preserve">Adjusted difference in </w:t>
      </w:r>
      <w:r>
        <w:t xml:space="preserve">hemoglobin </w:t>
      </w:r>
      <w:r w:rsidRPr="00A65793">
        <w:t>concentration</w:t>
      </w:r>
      <w:r>
        <w:t xml:space="preserve"> during the first month of dialysis, </w:t>
      </w:r>
      <w:r w:rsidRPr="00C839FB">
        <w:t>according to the 90</w:t>
      </w:r>
      <w:r w:rsidRPr="004746AE">
        <w:rPr>
          <w:vertAlign w:val="superscript"/>
        </w:rPr>
        <w:t>th</w:t>
      </w:r>
      <w:r w:rsidRPr="00C839FB">
        <w:t>percentile drinking water lead concentration in patie</w:t>
      </w:r>
      <w:r>
        <w:t>nt’s city of primary residence.  To account for the effect of ESA treatment, corrected hemoglobin was derived by subtracting 2 g/dL from observed hemoglobin concentration among ESA users during the first month of dialysis.  A</w:t>
      </w:r>
      <w:r w:rsidRPr="00815953">
        <w:t xml:space="preserve">djusted for age, </w:t>
      </w:r>
      <w:r>
        <w:t>sex</w:t>
      </w:r>
      <w:r w:rsidRPr="00815953">
        <w:t xml:space="preserve">, race, history of diabetes, congestive heart failure, hypertension, </w:t>
      </w:r>
      <w:r>
        <w:t xml:space="preserve">cancer, </w:t>
      </w:r>
      <w:r w:rsidRPr="00815953">
        <w:t xml:space="preserve">tobacco use, body mass index, estimated glomerular function, </w:t>
      </w:r>
      <w:r>
        <w:t>insurance status, employment, year of dialysis initiation, and county air pollution</w:t>
      </w:r>
      <w:r w:rsidRPr="00815953">
        <w:t>.</w:t>
      </w:r>
      <w:r>
        <w:t xml:space="preserve">  Dashed lines reflect 95% confidence interval. The figure excludes patients in cities with reported lead concentration </w:t>
      </w:r>
      <w:r>
        <w:rPr>
          <w:rFonts w:cstheme="minorHAnsi"/>
        </w:rPr>
        <w:t>≥</w:t>
      </w:r>
      <w:r>
        <w:t>0.03 mg/L.</w:t>
      </w:r>
    </w:p>
    <w:p w14:paraId="1AAF5090" w14:textId="77777777" w:rsidR="00E109EB" w:rsidRDefault="00E109EB" w:rsidP="00E109EB">
      <w:r>
        <w:t xml:space="preserve">Supplemental figure 3. Adjusted difference in ESA use during the first month of dialysis, </w:t>
      </w:r>
      <w:r w:rsidRPr="00C839FB">
        <w:t>according to the 90</w:t>
      </w:r>
      <w:r w:rsidRPr="004746AE">
        <w:rPr>
          <w:vertAlign w:val="superscript"/>
        </w:rPr>
        <w:t>th</w:t>
      </w:r>
      <w:r w:rsidRPr="00C839FB">
        <w:t xml:space="preserve"> percentile drinking water lead concentration in patient’s city of primary residence.  </w:t>
      </w:r>
      <w:r>
        <w:t>A</w:t>
      </w:r>
      <w:r w:rsidRPr="00815953">
        <w:t xml:space="preserve">djusted for age, </w:t>
      </w:r>
      <w:r>
        <w:t>sex</w:t>
      </w:r>
      <w:r w:rsidRPr="00815953">
        <w:t xml:space="preserve">, race, history of diabetes, congestive heart failure, hypertension, </w:t>
      </w:r>
      <w:r>
        <w:t xml:space="preserve">cancer, </w:t>
      </w:r>
      <w:r w:rsidRPr="00815953">
        <w:t xml:space="preserve">tobacco use, body mass index, estimated glomerular function, </w:t>
      </w:r>
      <w:r>
        <w:t xml:space="preserve">insurance status, employment, </w:t>
      </w:r>
      <w:r w:rsidRPr="00815953">
        <w:t>year of dialysis initiation</w:t>
      </w:r>
      <w:r>
        <w:t xml:space="preserve">, and county air pollution.  The figure excludes patients in cities with lead concentrations </w:t>
      </w:r>
      <w:r>
        <w:rPr>
          <w:rFonts w:cstheme="minorHAnsi"/>
        </w:rPr>
        <w:t>≥</w:t>
      </w:r>
      <w:r>
        <w:t>0.03 mg/L.</w:t>
      </w:r>
    </w:p>
    <w:p w14:paraId="52B26C18" w14:textId="77777777" w:rsidR="00E109EB" w:rsidRDefault="00E109EB" w:rsidP="00E109EB"/>
    <w:p w14:paraId="7EB7EDBA" w14:textId="7C509F54" w:rsidR="00E109EB" w:rsidRDefault="00E109EB" w:rsidP="00E109EB">
      <w:r>
        <w:br/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074"/>
        <w:gridCol w:w="1307"/>
        <w:gridCol w:w="1296"/>
        <w:gridCol w:w="1288"/>
        <w:gridCol w:w="1307"/>
        <w:gridCol w:w="1296"/>
        <w:gridCol w:w="1288"/>
      </w:tblGrid>
      <w:tr w:rsidR="00E109EB" w14:paraId="0137DBA9" w14:textId="77777777" w:rsidTr="00E856FC">
        <w:tc>
          <w:tcPr>
            <w:tcW w:w="1074" w:type="dxa"/>
          </w:tcPr>
          <w:p w14:paraId="7127FA91" w14:textId="77777777" w:rsidR="00E109EB" w:rsidRDefault="00E109EB" w:rsidP="00E856FC"/>
        </w:tc>
        <w:tc>
          <w:tcPr>
            <w:tcW w:w="7782" w:type="dxa"/>
            <w:gridSpan w:val="6"/>
            <w:vAlign w:val="center"/>
          </w:tcPr>
          <w:p w14:paraId="25C49293" w14:textId="77777777" w:rsidR="00E109EB" w:rsidRDefault="00E109EB" w:rsidP="00E856FC">
            <w:pPr>
              <w:jc w:val="center"/>
            </w:pPr>
            <w:r w:rsidRPr="00DF2B4B">
              <w:t>Adjusted difference in hemoglobin concentration and erythropoietin-stimulating agent (ESA) use per 0.01 mg/L higher 90th percentile lead concentration in community water</w:t>
            </w:r>
          </w:p>
        </w:tc>
      </w:tr>
      <w:tr w:rsidR="00E109EB" w14:paraId="146A1DC8" w14:textId="77777777" w:rsidTr="00E856FC">
        <w:tc>
          <w:tcPr>
            <w:tcW w:w="1074" w:type="dxa"/>
          </w:tcPr>
          <w:p w14:paraId="56F29618" w14:textId="77777777" w:rsidR="00E109EB" w:rsidRDefault="00E109EB" w:rsidP="00E856FC"/>
        </w:tc>
        <w:tc>
          <w:tcPr>
            <w:tcW w:w="3891" w:type="dxa"/>
            <w:gridSpan w:val="3"/>
            <w:vAlign w:val="center"/>
          </w:tcPr>
          <w:p w14:paraId="3374FD4C" w14:textId="77777777" w:rsidR="00E109EB" w:rsidRDefault="00E109EB" w:rsidP="00E856FC">
            <w:pPr>
              <w:jc w:val="center"/>
            </w:pPr>
            <w:r w:rsidRPr="00DF2B4B">
              <w:t>Pre-ESKD</w:t>
            </w:r>
          </w:p>
        </w:tc>
        <w:tc>
          <w:tcPr>
            <w:tcW w:w="3891" w:type="dxa"/>
            <w:gridSpan w:val="3"/>
            <w:vAlign w:val="center"/>
          </w:tcPr>
          <w:p w14:paraId="2A26251A" w14:textId="77777777" w:rsidR="00E109EB" w:rsidRDefault="00E109EB" w:rsidP="00E856FC">
            <w:pPr>
              <w:jc w:val="center"/>
            </w:pPr>
            <w:r w:rsidRPr="00DF2B4B">
              <w:t>First month of ESKD</w:t>
            </w:r>
          </w:p>
        </w:tc>
      </w:tr>
      <w:tr w:rsidR="00E109EB" w14:paraId="7C500258" w14:textId="77777777" w:rsidTr="00E856FC">
        <w:tc>
          <w:tcPr>
            <w:tcW w:w="1074" w:type="dxa"/>
          </w:tcPr>
          <w:p w14:paraId="46053223" w14:textId="77777777" w:rsidR="00E109EB" w:rsidRDefault="00E109EB" w:rsidP="00E856FC"/>
        </w:tc>
        <w:tc>
          <w:tcPr>
            <w:tcW w:w="1307" w:type="dxa"/>
            <w:vAlign w:val="center"/>
          </w:tcPr>
          <w:p w14:paraId="50613032" w14:textId="77777777" w:rsidR="00E109EB" w:rsidRDefault="00E109EB" w:rsidP="00E856FC">
            <w:pPr>
              <w:jc w:val="center"/>
            </w:pPr>
            <w:r>
              <w:t>Hemoglobin</w:t>
            </w:r>
          </w:p>
        </w:tc>
        <w:tc>
          <w:tcPr>
            <w:tcW w:w="1296" w:type="dxa"/>
            <w:vAlign w:val="center"/>
          </w:tcPr>
          <w:p w14:paraId="3B82D2F1" w14:textId="77777777" w:rsidR="00E109EB" w:rsidRDefault="00E109EB" w:rsidP="00E856FC">
            <w:pPr>
              <w:jc w:val="center"/>
            </w:pPr>
            <w:r>
              <w:t>Corrected hemoglobin</w:t>
            </w:r>
          </w:p>
        </w:tc>
        <w:tc>
          <w:tcPr>
            <w:tcW w:w="1288" w:type="dxa"/>
            <w:vAlign w:val="center"/>
          </w:tcPr>
          <w:p w14:paraId="24E34D28" w14:textId="77777777" w:rsidR="00E109EB" w:rsidRDefault="00E109EB" w:rsidP="00E856FC">
            <w:pPr>
              <w:jc w:val="center"/>
            </w:pPr>
            <w:r>
              <w:t>ESA use</w:t>
            </w:r>
          </w:p>
        </w:tc>
        <w:tc>
          <w:tcPr>
            <w:tcW w:w="1307" w:type="dxa"/>
            <w:vAlign w:val="center"/>
          </w:tcPr>
          <w:p w14:paraId="3F13B6B2" w14:textId="77777777" w:rsidR="00E109EB" w:rsidRDefault="00E109EB" w:rsidP="00E856FC">
            <w:pPr>
              <w:jc w:val="center"/>
            </w:pPr>
            <w:r>
              <w:t>Hemoglobin</w:t>
            </w:r>
          </w:p>
        </w:tc>
        <w:tc>
          <w:tcPr>
            <w:tcW w:w="1296" w:type="dxa"/>
            <w:vAlign w:val="center"/>
          </w:tcPr>
          <w:p w14:paraId="7254A939" w14:textId="77777777" w:rsidR="00E109EB" w:rsidRDefault="00E109EB" w:rsidP="00E856FC">
            <w:pPr>
              <w:jc w:val="center"/>
            </w:pPr>
            <w:r>
              <w:t>Corrected hemoglobin</w:t>
            </w:r>
          </w:p>
        </w:tc>
        <w:tc>
          <w:tcPr>
            <w:tcW w:w="1288" w:type="dxa"/>
            <w:vAlign w:val="center"/>
          </w:tcPr>
          <w:p w14:paraId="34ECD263" w14:textId="77777777" w:rsidR="00E109EB" w:rsidRDefault="00E109EB" w:rsidP="00E856FC">
            <w:pPr>
              <w:jc w:val="center"/>
            </w:pPr>
            <w:r>
              <w:t>ESA use</w:t>
            </w:r>
          </w:p>
        </w:tc>
      </w:tr>
      <w:tr w:rsidR="00E109EB" w14:paraId="5C86D2E0" w14:textId="77777777" w:rsidTr="00E856FC">
        <w:tc>
          <w:tcPr>
            <w:tcW w:w="1074" w:type="dxa"/>
          </w:tcPr>
          <w:p w14:paraId="2476D6C4" w14:textId="77777777" w:rsidR="00E109EB" w:rsidRDefault="00E109EB" w:rsidP="00E856FC">
            <w:r>
              <w:t>Model 1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7E19ED26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-0.024</w:t>
            </w:r>
          </w:p>
          <w:p w14:paraId="43ABC3BD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(-0.031, -0.017)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2F810A18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-0.035</w:t>
            </w:r>
          </w:p>
          <w:p w14:paraId="046D0BCC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-0.044, -0.026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666A32C0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0.47%</w:t>
            </w:r>
          </w:p>
          <w:p w14:paraId="1329DEF2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0.26, 0.68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485AB2AB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-0.053</w:t>
            </w:r>
          </w:p>
          <w:p w14:paraId="5A853245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-0.063, -0.042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42E66D57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-0.054</w:t>
            </w:r>
          </w:p>
          <w:p w14:paraId="1CFD6824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-0.068, -0.040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4090F622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0.36%</w:t>
            </w:r>
          </w:p>
          <w:p w14:paraId="143F5404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(-0.02, 0.74)</w:t>
            </w:r>
          </w:p>
        </w:tc>
      </w:tr>
      <w:tr w:rsidR="00E109EB" w14:paraId="709F5A53" w14:textId="77777777" w:rsidTr="00E856FC">
        <w:tc>
          <w:tcPr>
            <w:tcW w:w="1074" w:type="dxa"/>
          </w:tcPr>
          <w:p w14:paraId="3B54C8C5" w14:textId="77777777" w:rsidR="00E109EB" w:rsidRDefault="00E109EB" w:rsidP="00E856FC">
            <w:r>
              <w:t>Model 2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3EA70EE6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-0.019</w:t>
            </w:r>
          </w:p>
          <w:p w14:paraId="29F36586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-0.025, -0.012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798A8298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-0.031</w:t>
            </w:r>
          </w:p>
          <w:p w14:paraId="51C0F4E8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-0.040, -0.022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72805380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0.46%</w:t>
            </w:r>
          </w:p>
          <w:p w14:paraId="401052EE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0.25, 0.66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4D4A50FF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-0.047</w:t>
            </w:r>
          </w:p>
          <w:p w14:paraId="37122CFD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-0.058, -0.037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4F54C465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-0.047</w:t>
            </w:r>
          </w:p>
          <w:p w14:paraId="01FF3268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-0.061, -0.034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363D7FD9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0.30%</w:t>
            </w:r>
          </w:p>
          <w:p w14:paraId="705E66EC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-0.08, 0.67</w:t>
            </w:r>
            <w:r w:rsidRPr="00D77F80">
              <w:rPr>
                <w:sz w:val="18"/>
                <w:szCs w:val="18"/>
              </w:rPr>
              <w:t>)</w:t>
            </w:r>
          </w:p>
        </w:tc>
      </w:tr>
      <w:tr w:rsidR="00E109EB" w14:paraId="7BC2B920" w14:textId="77777777" w:rsidTr="00E856FC">
        <w:tc>
          <w:tcPr>
            <w:tcW w:w="1074" w:type="dxa"/>
          </w:tcPr>
          <w:p w14:paraId="2C592641" w14:textId="77777777" w:rsidR="00E109EB" w:rsidRDefault="00E109EB" w:rsidP="00E856FC">
            <w:r>
              <w:lastRenderedPageBreak/>
              <w:t>Model 3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731D4814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-0.019</w:t>
            </w:r>
          </w:p>
          <w:p w14:paraId="45631782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-0.026, -0.012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0589B3F7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-0.031</w:t>
            </w:r>
          </w:p>
          <w:p w14:paraId="0EC9C720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-0.040, -0.022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6DE8D989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0.44%</w:t>
            </w:r>
          </w:p>
          <w:p w14:paraId="18EE3E7B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0.23, 0.65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06DFA2C5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-0.047</w:t>
            </w:r>
          </w:p>
          <w:p w14:paraId="4C7407E1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-0.058, -0.037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1A5F11F1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-0.047</w:t>
            </w:r>
          </w:p>
          <w:p w14:paraId="4C3FFDCD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-0.061, -0.034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4DF8849A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0.31%</w:t>
            </w:r>
          </w:p>
          <w:p w14:paraId="5203EDB2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-0.07, 0.68</w:t>
            </w:r>
            <w:r w:rsidRPr="00D77F80">
              <w:rPr>
                <w:sz w:val="18"/>
                <w:szCs w:val="18"/>
              </w:rPr>
              <w:t>)</w:t>
            </w:r>
          </w:p>
        </w:tc>
      </w:tr>
      <w:tr w:rsidR="00E109EB" w14:paraId="6F4F0970" w14:textId="77777777" w:rsidTr="00E856FC">
        <w:tc>
          <w:tcPr>
            <w:tcW w:w="1074" w:type="dxa"/>
          </w:tcPr>
          <w:p w14:paraId="7844FD4D" w14:textId="77777777" w:rsidR="00E109EB" w:rsidRDefault="00E109EB" w:rsidP="00E856FC">
            <w:r>
              <w:t>Model 4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09B67CC5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-0.018</w:t>
            </w:r>
          </w:p>
          <w:p w14:paraId="38DD468B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-0.025, -0.011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1BE80615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-0.030</w:t>
            </w:r>
          </w:p>
          <w:p w14:paraId="2F3E2753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-0.038, -0.021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7E7770DE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0.42%</w:t>
            </w:r>
          </w:p>
          <w:p w14:paraId="4731ED0F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0.21, 0.62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tcMar>
              <w:left w:w="14" w:type="dxa"/>
              <w:right w:w="14" w:type="dxa"/>
            </w:tcMar>
          </w:tcPr>
          <w:p w14:paraId="61602E64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-0.046</w:t>
            </w:r>
          </w:p>
          <w:p w14:paraId="41E09948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-0.056, -0.035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96" w:type="dxa"/>
            <w:tcMar>
              <w:left w:w="14" w:type="dxa"/>
              <w:right w:w="14" w:type="dxa"/>
            </w:tcMar>
          </w:tcPr>
          <w:p w14:paraId="606528A9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-0.046</w:t>
            </w:r>
          </w:p>
          <w:p w14:paraId="23D5BC81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-0.059, -0.032</w:t>
            </w:r>
            <w:r w:rsidRPr="00D77F80">
              <w:rPr>
                <w:sz w:val="18"/>
                <w:szCs w:val="18"/>
              </w:rPr>
              <w:t>)</w:t>
            </w:r>
          </w:p>
        </w:tc>
        <w:tc>
          <w:tcPr>
            <w:tcW w:w="1288" w:type="dxa"/>
            <w:tcMar>
              <w:left w:w="14" w:type="dxa"/>
              <w:right w:w="14" w:type="dxa"/>
            </w:tcMar>
          </w:tcPr>
          <w:p w14:paraId="59AD63EC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 w:rsidRPr="00D77F80">
              <w:rPr>
                <w:sz w:val="18"/>
                <w:szCs w:val="18"/>
              </w:rPr>
              <w:t>0.27%</w:t>
            </w:r>
          </w:p>
          <w:p w14:paraId="6BDF4460" w14:textId="77777777" w:rsidR="00E109EB" w:rsidRPr="00D77F80" w:rsidRDefault="00E109EB" w:rsidP="00E85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(-0.10, 0.64)</w:t>
            </w:r>
          </w:p>
        </w:tc>
      </w:tr>
    </w:tbl>
    <w:p w14:paraId="462A038D" w14:textId="77777777" w:rsidR="00E109EB" w:rsidRDefault="00E109EB" w:rsidP="00E109EB"/>
    <w:p w14:paraId="54D7076C" w14:textId="77777777" w:rsidR="00E109EB" w:rsidRDefault="00E109EB" w:rsidP="00E109EB">
      <w:r>
        <w:t>Supplemental table 1.  Effect of adjustment for patient characteristics, socioeconomic determinants, and environmental air quality, on the association of a 0.01 mg/L higher 90</w:t>
      </w:r>
      <w:r w:rsidRPr="00D56032">
        <w:rPr>
          <w:vertAlign w:val="superscript"/>
        </w:rPr>
        <w:t>th</w:t>
      </w:r>
      <w:r>
        <w:t xml:space="preserve"> percentile lead level on hemoglobin concentrations and Erythropoietin Stimulating Agent use.</w:t>
      </w:r>
    </w:p>
    <w:p w14:paraId="584493D9" w14:textId="77777777" w:rsidR="00E109EB" w:rsidRDefault="00E109EB" w:rsidP="00E109EB">
      <w:r>
        <w:t>Model 1 – adjusted for year of ESKD onset.</w:t>
      </w:r>
      <w:r>
        <w:br/>
        <w:t xml:space="preserve">Model 2-  adjusted for Model 1 variables and the following patient characteristics - age, sex and race, </w:t>
      </w:r>
      <w:r w:rsidRPr="004B5F96">
        <w:t>history of diabetes, congestive heart failure, hypertension, cancer, tobacco use, body mass index,</w:t>
      </w:r>
      <w:r>
        <w:t xml:space="preserve"> and </w:t>
      </w:r>
      <w:r w:rsidRPr="004B5F96">
        <w:t xml:space="preserve"> estimated glomerular function</w:t>
      </w:r>
      <w:r>
        <w:t>.</w:t>
      </w:r>
      <w:r>
        <w:br/>
        <w:t>Model 3- adjusted for model 2 variables and patients employment  and health insurance status at time of ESKD onset.</w:t>
      </w:r>
      <w:r>
        <w:br/>
        <w:t>Model 4 – adjusted for model 3 variables and county level estimates of pollution.</w:t>
      </w:r>
      <w:r>
        <w:br/>
      </w:r>
    </w:p>
    <w:p w14:paraId="59E8CEF6" w14:textId="77777777" w:rsidR="00E109EB" w:rsidRDefault="00E109EB" w:rsidP="00E109EB">
      <w:r>
        <w:br w:type="page"/>
      </w:r>
    </w:p>
    <w:p w14:paraId="5358991E" w14:textId="77777777" w:rsidR="00E109EB" w:rsidRDefault="00E109EB" w:rsidP="00E109E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6BD84" wp14:editId="0D3125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9250" cy="5967663"/>
                <wp:effectExtent l="0" t="0" r="0" b="1460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5967663"/>
                          <a:chOff x="0" y="0"/>
                          <a:chExt cx="5429734" cy="596779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692110" y="723891"/>
                            <a:ext cx="1560304" cy="1405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2AEF03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Incident ESRD from 1/1/2005 to 12/31/2017</w:t>
                              </w:r>
                            </w:p>
                            <w:p w14:paraId="2D204B9D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N=1,513,036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xtBox 11"/>
                        <wps:cNvSpPr txBox="1"/>
                        <wps:spPr>
                          <a:xfrm>
                            <a:off x="0" y="2304"/>
                            <a:ext cx="202501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933ABE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Safe Drinking Water </w:t>
                              </w:r>
                            </w:p>
                            <w:p w14:paraId="2941453F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Information System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TextBox 12"/>
                        <wps:cNvSpPr txBox="1"/>
                        <wps:spPr>
                          <a:xfrm>
                            <a:off x="2460426" y="0"/>
                            <a:ext cx="194627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745988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United States</w:t>
                              </w:r>
                            </w:p>
                            <w:p w14:paraId="499BA659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Renal Data System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826259" y="2203481"/>
                            <a:ext cx="0" cy="3327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Box 15"/>
                        <wps:cNvSpPr txBox="1"/>
                        <wps:spPr>
                          <a:xfrm>
                            <a:off x="2863864" y="2239075"/>
                            <a:ext cx="2565870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C5715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   Missing residence (n=23,301)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67093" y="4852917"/>
                            <a:ext cx="2305787" cy="11148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698FD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597,968 incident ESRD living in 9,566 cities served by 21,113 water systems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49871" y="2587917"/>
                            <a:ext cx="196643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E17BB5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740,380 incident ESRD in cities with reported community water lead levels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988059" y="3643474"/>
                            <a:ext cx="0" cy="1033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456638" y="1291538"/>
                            <a:ext cx="0" cy="134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Box 21"/>
                        <wps:cNvSpPr txBox="1"/>
                        <wps:spPr>
                          <a:xfrm>
                            <a:off x="2209078" y="3643392"/>
                            <a:ext cx="2565400" cy="1114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948B1B" w14:textId="77777777" w:rsidR="00E109EB" w:rsidRDefault="00E109EB" w:rsidP="00E109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Missing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preESKD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 hemoglobin (n=67,321)</w:t>
                              </w:r>
                            </w:p>
                            <w:p w14:paraId="03A976EF" w14:textId="77777777" w:rsidR="00E109EB" w:rsidRDefault="00E109EB" w:rsidP="00E109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Missing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preESKD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 ESA use (n=197,890)</w:t>
                              </w:r>
                            </w:p>
                            <w:p w14:paraId="1744666C" w14:textId="77777777" w:rsidR="00E109EB" w:rsidRDefault="00E109EB" w:rsidP="00E109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Missing additional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preESKD</w:t>
                              </w:r>
                              <w:proofErr w:type="spellEnd"/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 data (n=74,980)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5518" y="688218"/>
                            <a:ext cx="1798282" cy="5689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AC5452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49,529 community water systems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98058" y="1460157"/>
                            <a:ext cx="1592755" cy="9106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3CFDB" w14:textId="77777777" w:rsidR="00E109EB" w:rsidRDefault="00E109EB" w:rsidP="00E10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30,759 report geographic service to 14,429 cities and 201,023 lead measurements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609038" y="2370813"/>
                            <a:ext cx="0" cy="134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6BD84" id="Group 1" o:spid="_x0000_s1026" style="position:absolute;margin-left:0;margin-top:0;width:427.5pt;height:469.9pt;z-index:251659264;mso-height-relative:margin" coordsize="54297,5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mrhQUAAIwiAAAOAAAAZHJzL2Uyb0RvYy54bWzsWttu4zYQfS/QfxD03likJEoy4iy22d28&#10;FN3FZvsBjEzZAiRRpZjY+fsOL6J8iWs1QV2ncB4c2SZHw+HhmTMjX39Y15X3xERX8mbmo6vA91iT&#10;83nZLGb+Hz++/JL6XidpM6cVb9jMf2ad/+Hm55+uV+2UYb7k1ZwJD4w03XTVzvyllO10MunyJatp&#10;d8Vb1sCXBRc1lfBWLCZzQVdgva4mOAjIZMXFvBU8Z10Hn34yX/o32n5RsFx+LYqOSa+a+eCb1K9C&#10;vz6o18nNNZ0uBG2XZW7doK/woqZlAzd1pj5RSb1HUe6Zqstc8I4X8irn9YQXRZkzvQZYDQp2VnMn&#10;+GOr17KYrhatCxOEdidOrzab//70TXjlfOZj32toDVuk7+ohFZpVu5jCiDvR3rffhP1gYd6p1a4L&#10;Uav/sA5vrYP67ILK1tLL4cM4whmOIfY5fBdnJCEkNGHPl7A3e/Py5eeNmUkYDTOTLFEzJ/2NJ8o/&#10;586qBQh1Q5S6t0XpfklbpoPfqRjYKIV9lL4DtGizqJinV6NuDqNcmLppBxF7IUaYZBghCAdEI8Fh&#10;mulA02kfLhSTIAzsolEUxBjHW4um01Z08o7x2lMXM1+AJxp79Om3Tpr49EOUAx2vyvmXsqr0G3Ww&#10;2G0lvCcKR+JhoW8PEd0aVTXHJsr1CxPBjJoJ29IvX1/J54ope1XznRWANQAF1g7rUz44Q/OcNRKZ&#10;r5Z0zoyPcQB/NgRuhkaBNqgsF7A6Z9sa2F5ob9uEx45XU5kmCTc5+DvHzGQ3Q9+ZN9JNrsuGi5cM&#10;VLAqe2czvg+SCY2Kklw/rGGIunzg82eAm5DVLTe0RZt8yYG1cim0HTUKoG6G/+uYBzAaZvgBIP2V&#10;rz2kV6OcsJD35Bo+B/5X3qnPD4DfwB4rfMPAAfQ4AIZAsTnpJMpI8EbMN1wBXoV88EZdqShrtnOe&#10;2mCvIAXM/AZylL8ReOVj1358lGBOnyxlw8ywpk+3C2RvF3Af7X+4CzgiQYTB3j5ZoywiODnlRrhF&#10;vJuNSPqNuJeCloul9D4KwVfeLW8aoGIuPJ2lFFRgY24bmzgPHgqcYoLjTG8HxkEYpRqcw+mwuTMM&#10;cZKl+vz3CXAvF3TWJeeLIcMDmeGVNE+nkpbV52buyecWBANVy7d+jeT/ERz9MrmP4OdTk/uQCotD&#10;5G6w3dPR6ThD6Ywd6tbEarGp1MpY6sYpCVMCqQBIA+MwC4Altjk8JnGaWKxiggjcXK34IFaP6Zaj&#10;HO6E1xZ1dH8+UnG2LA6p0+7IICD30imETe3QgSQKEjrIQIfCRkRpjDOk6WagC0ivcZICSynBjRCK&#10;0vSNO7GlDZ0EuyhIVpybgtTaRourQals6BnvvxWSyNWYG+B3AmBU+YSCKEsTOESKhoBv9tCPMkKi&#10;0NJQhqLI1Q59sdrXRpfySdVjuoj5f5RPGvwuv9mkcDZVFHKtg4O6EYZY6h8lHFEGzG6FYwigj5Kd&#10;ssqeAhSEYWyyxOFsfFGOro1wMlI/Z+Xoiv7DaHV5Zhxaoxg6f9AOVqoEVEsM11sCskdrCPX/kfL/&#10;AtYLWDeasqpztF3mYNffsapidJmDAyhtDEoVp4aZ1icb6hrKHKUpnLqO3tqfPVrnkD4rvKc6x7Wr&#10;NqSeW8goqRfDHzI7QdIUw+UWXSBohkDrxD4dIGkGHS0YcDjDHas3L1UONJvfRZ9cCz3XZDs7oeca&#10;hBvQd96Ogj7JQNjZVAnNWhTvlPgozqBLa9u0GQpIoFnqgn11/F2DQpPBy23EEf3HU7cRRz4j0tjX&#10;VHiWFT6A1mTiw7LROT9ONhJIyFY24jAJUlMkDQm5T8UX2agevesnVuf06PN1NY5+sg8/edBH2P48&#10;Q/2mYvM9XG/+iOTmLwAAAP//AwBQSwMEFAAGAAgAAAAhAM+Axp/cAAAABQEAAA8AAABkcnMvZG93&#10;bnJldi54bWxMj0FLw0AQhe+C/2GZgje7iSWSptmUUtRTEWwF8TbNTpPQ7GzIbpP037t6qZcHjze8&#10;902+nkwrBupdY1lBPI9AEJdWN1wp+Dy8PqYgnEfW2FomBVdysC7u73LMtB35g4a9r0QoYZehgtr7&#10;LpPSlTUZdHPbEYfsZHuDPti+krrHMZSbVj5F0bM02HBYqLGjbU3leX8xCt5GHDeL+GXYnU/b6/ch&#10;ef/axaTUw2zarEB4mvztGH7xAzoUgeloL6ydaBWER/yfhixNkmCPCpaLZQqyyOV/+uIHAAD//wMA&#10;UEsBAi0AFAAGAAgAAAAhALaDOJL+AAAA4QEAABMAAAAAAAAAAAAAAAAAAAAAAFtDb250ZW50X1R5&#10;cGVzXS54bWxQSwECLQAUAAYACAAAACEAOP0h/9YAAACUAQAACwAAAAAAAAAAAAAAAAAvAQAAX3Jl&#10;bHMvLnJlbHNQSwECLQAUAAYACAAAACEAOTJ5q4UFAACMIgAADgAAAAAAAAAAAAAAAAAuAgAAZHJz&#10;L2Uyb0RvYy54bWxQSwECLQAUAAYACAAAACEAz4DGn9wAAAAFAQAADwAAAAAAAAAAAAAAAADfBwAA&#10;ZHJzL2Rvd25yZXYueG1sUEsFBgAAAAAEAAQA8wAAAOgIAAAAAA==&#10;">
                <v:rect id="Rectangle 3" o:spid="_x0000_s1027" style="position:absolute;left:26921;top:7238;width:15603;height:1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>
                  <v:textbox>
                    <w:txbxContent>
                      <w:p w14:paraId="7F2AEF03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Incident ESRD from 1/1/2005 to 12/31/2017</w:t>
                        </w:r>
                      </w:p>
                      <w:p w14:paraId="2D204B9D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N=1,513,036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top:23;width:20250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16933ABE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Safe Drinking Water </w:t>
                        </w:r>
                      </w:p>
                      <w:p w14:paraId="2941453F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Information System </w:t>
                        </w:r>
                      </w:p>
                    </w:txbxContent>
                  </v:textbox>
                </v:shape>
                <v:shape id="TextBox 12" o:spid="_x0000_s1029" type="#_x0000_t202" style="position:absolute;left:24604;width:19463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4B745988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United States</w:t>
                        </w:r>
                      </w:p>
                      <w:p w14:paraId="499BA659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Renal Data System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0" type="#_x0000_t32" style="position:absolute;left:28262;top:22034;width:0;height:3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qOxAAAANoAAAAPAAAAZHJzL2Rvd25yZXYueG1sRI9BawIx&#10;FITvBf9DeEIvUrMKalmN0oqlIkjR9qC35+a5u7p5WZJU13/fCEKPw8x8w0xmjanEhZwvLSvodRMQ&#10;xJnVJecKfr4/Xl5B+ICssbJMCm7kYTZtPU0w1fbKG7psQy4ihH2KCooQ6lRKnxVk0HdtTRy9o3UG&#10;Q5Qul9rhNcJNJftJMpQGS44LBdY0Lyg7b3+Ngs67393On6fBYb9Y+y+34uVaslLP7eZtDCJQE/7D&#10;j/ZSKxjB/Uq8AXL6BwAA//8DAFBLAQItABQABgAIAAAAIQDb4fbL7gAAAIUBAAATAAAAAAAAAAAA&#10;AAAAAAAAAABbQ29udGVudF9UeXBlc10ueG1sUEsBAi0AFAAGAAgAAAAhAFr0LFu/AAAAFQEAAAsA&#10;AAAAAAAAAAAAAAAAHwEAAF9yZWxzLy5yZWxzUEsBAi0AFAAGAAgAAAAhAMx8yo7EAAAA2gAAAA8A&#10;AAAAAAAAAAAAAAAABwIAAGRycy9kb3ducmV2LnhtbFBLBQYAAAAAAwADALcAAAD4AgAAAAA=&#10;" strokecolor="black [3213]" strokeweight=".5pt">
                  <v:stroke endarrow="open" joinstyle="miter"/>
                </v:shape>
                <v:shape id="TextBox 15" o:spid="_x0000_s1031" type="#_x0000_t202" style="position:absolute;left:28638;top:22390;width:2565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679C5715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   Missing residence (n=23,301)</w:t>
                        </w:r>
                      </w:p>
                    </w:txbxContent>
                  </v:textbox>
                </v:shape>
                <v:rect id="Rectangle 11" o:spid="_x0000_s1032" style="position:absolute;left:9670;top:48529;width:23058;height:1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>
                  <v:textbox>
                    <w:txbxContent>
                      <w:p w14:paraId="021698FD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597,968 incident ESRD living in 9,566 cities served by 21,113 water systems</w:t>
                        </w:r>
                      </w:p>
                    </w:txbxContent>
                  </v:textbox>
                </v:rect>
                <v:rect id="Rectangle 12" o:spid="_x0000_s1033" style="position:absolute;left:10498;top:25879;width:1966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>
                  <v:textbox>
                    <w:txbxContent>
                      <w:p w14:paraId="3AE17BB5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740,380 incident ESRD in cities with reported community water lead levels</w:t>
                        </w:r>
                      </w:p>
                    </w:txbxContent>
                  </v:textbox>
                </v:rect>
                <v:shape id="Straight Arrow Connector 13" o:spid="_x0000_s1034" type="#_x0000_t32" style="position:absolute;left:19880;top:36434;width:0;height:10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RzHwwAAANsAAAAPAAAAZHJzL2Rvd25yZXYueG1sRE9NawIx&#10;EL0X/A9hhF6kZlWUshqlFUtFkKLtQW/jZtxd3UyWJNX13zeC0Ns83udMZo2pxIWcLy0r6HUTEMSZ&#10;1SXnCn6+P15eQfiArLGyTApu5GE2bT1NMNX2yhu6bEMuYgj7FBUUIdSplD4ryKDv2po4ckfrDIYI&#10;XS61w2sMN5XsJ8lIGiw5NhRY07yg7Lz9NQo67353O3+ehof9Yu2/3IqXa8lKPbebtzGIQE34Fz/c&#10;Sx3nD+D+SzxATv8AAAD//wMAUEsBAi0AFAAGAAgAAAAhANvh9svuAAAAhQEAABMAAAAAAAAAAAAA&#10;AAAAAAAAAFtDb250ZW50X1R5cGVzXS54bWxQSwECLQAUAAYACAAAACEAWvQsW78AAAAVAQAACwAA&#10;AAAAAAAAAAAAAAAfAQAAX3JlbHMvLnJlbHNQSwECLQAUAAYACAAAACEAedEcx8MAAADbAAAADwAA&#10;AAAAAAAAAAAAAAAHAgAAZHJzL2Rvd25yZXYueG1sUEsFBgAAAAADAAMAtwAAAPcCAAAAAA==&#10;" strokecolor="black [3213]" strokeweight=".5pt">
                  <v:stroke endarrow="open" joinstyle="miter"/>
                </v:shape>
                <v:shape id="Straight Arrow Connector 14" o:spid="_x0000_s1035" type="#_x0000_t32" style="position:absolute;left:14566;top:12915;width:0;height:1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SzwwAAANsAAAAPAAAAZHJzL2Rvd25yZXYueG1sRE9NawIx&#10;EL0X/A9hhF6kZhWVshqlFUtFkKLtQW/jZtxd3UyWJNX13zeC0Ns83udMZo2pxIWcLy0r6HUTEMSZ&#10;1SXnCn6+P15eQfiArLGyTApu5GE2bT1NMNX2yhu6bEMuYgj7FBUUIdSplD4ryKDv2po4ckfrDIYI&#10;XS61w2sMN5XsJ8lIGiw5NhRY07yg7Lz9NQo67353O3+ehof9Yu2/3IqXa8lKPbebtzGIQE34Fz/c&#10;Sx3nD+D+SzxATv8AAAD//wMAUEsBAi0AFAAGAAgAAAAhANvh9svuAAAAhQEAABMAAAAAAAAAAAAA&#10;AAAAAAAAAFtDb250ZW50X1R5cGVzXS54bWxQSwECLQAUAAYACAAAACEAWvQsW78AAAAVAQAACwAA&#10;AAAAAAAAAAAAAAAfAQAAX3JlbHMvLnJlbHNQSwECLQAUAAYACAAAACEA9jiEs8MAAADbAAAADwAA&#10;AAAAAAAAAAAAAAAHAgAAZHJzL2Rvd25yZXYueG1sUEsFBgAAAAADAAMAtwAAAPcCAAAAAA==&#10;" strokecolor="black [3213]" strokeweight=".5pt">
                  <v:stroke endarrow="open" joinstyle="miter"/>
                </v:shape>
                <v:shape id="TextBox 21" o:spid="_x0000_s1036" type="#_x0000_t202" style="position:absolute;left:22090;top:36433;width:25654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5E948B1B" w14:textId="77777777" w:rsidR="00E109EB" w:rsidRDefault="00E109EB" w:rsidP="00E109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Missing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preESKD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 hemoglobin (n=67,321)</w:t>
                        </w:r>
                      </w:p>
                      <w:p w14:paraId="03A976EF" w14:textId="77777777" w:rsidR="00E109EB" w:rsidRDefault="00E109EB" w:rsidP="00E109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Missing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preESKD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 ESA use (n=197,890)</w:t>
                        </w:r>
                      </w:p>
                      <w:p w14:paraId="1744666C" w14:textId="77777777" w:rsidR="00E109EB" w:rsidRDefault="00E109EB" w:rsidP="00E109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Missing additional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preESKD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 xml:space="preserve"> data (n=74,980)</w:t>
                        </w:r>
                      </w:p>
                    </w:txbxContent>
                  </v:textbox>
                </v:shape>
                <v:rect id="Rectangle 16" o:spid="_x0000_s1037" style="position:absolute;left:5555;top:6882;width:17983;height:5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>
                  <v:textbox>
                    <w:txbxContent>
                      <w:p w14:paraId="20AC5452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49,529 community water systems  </w:t>
                        </w:r>
                      </w:p>
                    </w:txbxContent>
                  </v:textbox>
                </v:rect>
                <v:rect id="Rectangle 17" o:spid="_x0000_s1038" style="position:absolute;left:6980;top:14601;width:15928;height:9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>
                  <v:textbox>
                    <w:txbxContent>
                      <w:p w14:paraId="3763CFDB" w14:textId="77777777" w:rsidR="00E109EB" w:rsidRDefault="00E109EB" w:rsidP="00E10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30,759 report geographic service to 14,429 cities and 201,023 lead measurements </w:t>
                        </w:r>
                      </w:p>
                    </w:txbxContent>
                  </v:textbox>
                </v:rect>
                <v:shape id="Straight Arrow Connector 18" o:spid="_x0000_s1039" type="#_x0000_t32" style="position:absolute;left:16090;top:23708;width:0;height:1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Y62xgAAANsAAAAPAAAAZHJzL2Rvd25yZXYueG1sRI9BawJB&#10;DIXvBf/DEMGL1NkKlbI6Si1KpSCltgd7S3fS3dWdzDIz1fXfm4PQW8J7ee/LbNG5Rp0oxNqzgYdR&#10;Boq48Lbm0sDX5/r+CVRMyBYbz2TgQhEW897dDHPrz/xBp10qlYRwzNFAlVKbax2LihzGkW+JRfv1&#10;wWGSNZTaBjxLuGv0OMsm2mHN0lBhSy8VFcfdnzMwXMb95fh6ePz5Xm3je3jjzVazMYN+9zwFlahL&#10;/+bb9cYKvsDKLzKAnl8BAAD//wMAUEsBAi0AFAAGAAgAAAAhANvh9svuAAAAhQEAABMAAAAAAAAA&#10;AAAAAAAAAAAAAFtDb250ZW50X1R5cGVzXS54bWxQSwECLQAUAAYACAAAACEAWvQsW78AAAAVAQAA&#10;CwAAAAAAAAAAAAAAAAAfAQAAX3JlbHMvLnJlbHNQSwECLQAUAAYACAAAACEAd3WOtsYAAADbAAAA&#10;DwAAAAAAAAAAAAAAAAAHAgAAZHJzL2Rvd25yZXYueG1sUEsFBgAAAAADAAMAtwAAAPoCAAAAAA==&#10;" strokecolor="black [3213]" strokeweight=".5pt">
                  <v:stroke endarrow="open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E015" wp14:editId="78AE53ED">
                <wp:simplePos x="0" y="0"/>
                <wp:positionH relativeFrom="column">
                  <wp:posOffset>0</wp:posOffset>
                </wp:positionH>
                <wp:positionV relativeFrom="paragraph">
                  <wp:posOffset>6136807</wp:posOffset>
                </wp:positionV>
                <wp:extent cx="5429250" cy="6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57A42" w14:textId="77777777" w:rsidR="00E109EB" w:rsidRPr="006C490B" w:rsidRDefault="00E109EB" w:rsidP="00E109E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D56032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Supplement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al figure 1.  Flow chart outlining</w:t>
                            </w:r>
                            <w:r w:rsidRPr="00D56032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merge of data sources to generate complete dataset.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1E015" id="Text Box 19" o:spid="_x0000_s1040" type="#_x0000_t202" style="position:absolute;margin-left:0;margin-top:483.2pt;width:427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5TMwIAAHQEAAAOAAAAZHJzL2Uyb0RvYy54bWysVFFv2jAQfp+0/2D5fQTYqNaIUDEqpkmo&#10;rQRTn43jkEi2zzsbEvbrd3YI7bo9TXsx57vPd7nvu2N+1xnNTgp9A7bgk9GYM2UllI09FPz7bv3h&#10;M2c+CFsKDVYV/Kw8v1u8fzdvXa6mUIMuFTJKYn3euoLXIbg8y7yslRF+BE5ZClaARgS64iErUbSU&#10;3ehsOh7fZC1g6RCk8p68932QL1L+qlIyPFaVV4HpgtO3hXRiOvfxzBZzkR9QuLqRl88Q//AVRjSW&#10;il5T3Ysg2BGbP1KZRiJ4qMJIgsmgqhqpUg/UzWT8ppttLZxKvRA53l1p8v8vrXw4PSFrStLuljMr&#10;DGm0U11gX6Bj5CJ+Wudzgm0dAUNHfsIOfk/O2HZXoYm/1BCjODF9vrIbs0lyzj5Nb6czCkmK3Xyc&#10;xRzZy1OHPnxVYFg0Co4kXWJUnDY+9NABEit50E25brSOlxhYaWQnQTK3dRPUJflvKG0j1kJ81Sfs&#10;PSrNyaVK7LbvKlqh23eJnSsTeyjPRARCP0reyXVD1TfChyeBNDvUIO1DeKSj0tAWHC4WZzXgz7/5&#10;I54kpShnLc1iwf2Po0DFmf5mSew4uIOBg7EfDHs0K6C+J7RpTiaTHmDQg1khmGdak2WsQiFhJdUq&#10;eBjMVeg3gtZMquUygWg8nQgbu3Uyph5Y3nXPAt1Fo0DSPsAwpSJ/I1WPTWK55TEQ70nHyGvPIukf&#10;LzTaaRIuaxh35/U9oV7+LBa/AAAA//8DAFBLAwQUAAYACAAAACEA8ajezt4AAAAIAQAADwAAAGRy&#10;cy9kb3ducmV2LnhtbEyPwU7DMBBE70j8g7VIXBB1gCQqIU5VVXCAS0XohZubbONAvI5spw1/z8IF&#10;jjszmn1TrmY7iCP60DtScLNIQCA1ru2pU7B7e7pegghRU6sHR6jgCwOsqvOzUhetO9ErHuvYCS6h&#10;UGgFJsaxkDI0Bq0OCzcisXdw3urIp+9k6/WJy+0gb5Mkl1b3xB+MHnFjsPmsJ6tgm75vzdV0eHxZ&#10;p3f+eTdt8o+uVuryYl4/gIg4x78w/OAzOlTMtHcTtUEMCnhIVHCf5ykItpdZxsr+V8lAVqX8P6D6&#10;BgAA//8DAFBLAQItABQABgAIAAAAIQC2gziS/gAAAOEBAAATAAAAAAAAAAAAAAAAAAAAAABbQ29u&#10;dGVudF9UeXBlc10ueG1sUEsBAi0AFAAGAAgAAAAhADj9If/WAAAAlAEAAAsAAAAAAAAAAAAAAAAA&#10;LwEAAF9yZWxzLy5yZWxzUEsBAi0AFAAGAAgAAAAhAGYIHlMzAgAAdAQAAA4AAAAAAAAAAAAAAAAA&#10;LgIAAGRycy9lMm9Eb2MueG1sUEsBAi0AFAAGAAgAAAAhAPGo3s7eAAAACAEAAA8AAAAAAAAAAAAA&#10;AAAAjQQAAGRycy9kb3ducmV2LnhtbFBLBQYAAAAABAAEAPMAAACYBQAAAAA=&#10;" stroked="f">
                <v:textbox style="mso-fit-shape-to-text:t" inset="0,0,0,0">
                  <w:txbxContent>
                    <w:p w14:paraId="60D57A42" w14:textId="77777777" w:rsidR="00E109EB" w:rsidRPr="006C490B" w:rsidRDefault="00E109EB" w:rsidP="00E109EB">
                      <w:pPr>
                        <w:pStyle w:val="Caption"/>
                        <w:rPr>
                          <w:noProof/>
                        </w:rPr>
                      </w:pPr>
                      <w:r w:rsidRPr="00D56032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Supplement</w:t>
                      </w: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al figure 1.  Flow chart outlining</w:t>
                      </w:r>
                      <w:r w:rsidRPr="00D56032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merge of data sources to generate complete dataset.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br w:type="page"/>
      </w:r>
    </w:p>
    <w:p w14:paraId="08F7075E" w14:textId="77777777" w:rsidR="00E109EB" w:rsidRDefault="00E109EB" w:rsidP="00E109EB"/>
    <w:p w14:paraId="07E2511B" w14:textId="77777777" w:rsidR="00E109EB" w:rsidRDefault="00E109EB" w:rsidP="00E109EB">
      <w:pPr>
        <w:keepNext/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rPr>
          <w:noProof/>
        </w:rPr>
        <w:drawing>
          <wp:inline distT="0" distB="0" distL="0" distR="0" wp14:anchorId="52D6A42E" wp14:editId="0F6566EF">
            <wp:extent cx="5943600" cy="5935477"/>
            <wp:effectExtent l="0" t="0" r="0" b="8255"/>
            <wp:docPr id="8" name="Picture 8" descr="H:\active research\water data\Lead in drinking water\Indicent esrd\JASN revision redone 3\FINAL REVISION MANUSCRIPT\Figure 2 On-dialysis 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ctive research\water data\Lead in drinking water\Indicent esrd\JASN revision redone 3\FINAL REVISION MANUSCRIPT\Figure 2 On-dialysis H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35E1" w14:textId="77777777" w:rsidR="00E109EB" w:rsidRPr="00E231CA" w:rsidRDefault="00E109EB" w:rsidP="00E109EB">
      <w:pPr>
        <w:pStyle w:val="Caption"/>
        <w:rPr>
          <w:b w:val="0"/>
          <w:color w:val="auto"/>
          <w:sz w:val="22"/>
          <w:szCs w:val="22"/>
        </w:rPr>
        <w:sectPr w:rsidR="00E109EB" w:rsidRPr="00E231CA" w:rsidSect="00411DE8">
          <w:footerReference w:type="default" r:id="rId6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E231CA">
        <w:rPr>
          <w:b w:val="0"/>
          <w:color w:val="auto"/>
          <w:sz w:val="22"/>
          <w:szCs w:val="22"/>
        </w:rPr>
        <w:t xml:space="preserve">Supplemental </w:t>
      </w:r>
      <w:r>
        <w:rPr>
          <w:b w:val="0"/>
          <w:color w:val="auto"/>
          <w:sz w:val="22"/>
          <w:szCs w:val="22"/>
        </w:rPr>
        <w:t>f</w:t>
      </w:r>
      <w:r w:rsidRPr="00E231CA">
        <w:rPr>
          <w:b w:val="0"/>
          <w:color w:val="auto"/>
          <w:sz w:val="22"/>
          <w:szCs w:val="22"/>
        </w:rPr>
        <w:t xml:space="preserve">igure </w:t>
      </w:r>
      <w:r>
        <w:rPr>
          <w:b w:val="0"/>
          <w:color w:val="auto"/>
          <w:sz w:val="22"/>
          <w:szCs w:val="22"/>
        </w:rPr>
        <w:t>2</w:t>
      </w:r>
      <w:r w:rsidRPr="00E231CA">
        <w:rPr>
          <w:b w:val="0"/>
          <w:color w:val="auto"/>
          <w:sz w:val="22"/>
          <w:szCs w:val="22"/>
        </w:rPr>
        <w:t xml:space="preserve">. Adjusted difference in hemoglobin concentration during the first month of dialysis, </w:t>
      </w:r>
      <w:r w:rsidRPr="00C839FB">
        <w:rPr>
          <w:b w:val="0"/>
          <w:color w:val="auto"/>
          <w:sz w:val="22"/>
          <w:szCs w:val="22"/>
        </w:rPr>
        <w:t>according to the 90</w:t>
      </w:r>
      <w:r w:rsidRPr="004746AE">
        <w:rPr>
          <w:b w:val="0"/>
          <w:color w:val="auto"/>
          <w:sz w:val="22"/>
          <w:szCs w:val="22"/>
          <w:vertAlign w:val="superscript"/>
        </w:rPr>
        <w:t>th</w:t>
      </w:r>
      <w:r w:rsidRPr="00C839FB">
        <w:rPr>
          <w:b w:val="0"/>
          <w:color w:val="auto"/>
          <w:sz w:val="22"/>
          <w:szCs w:val="22"/>
        </w:rPr>
        <w:t xml:space="preserve"> percentile drinking water lead concentration</w:t>
      </w:r>
      <w:r w:rsidRPr="00C839FB" w:rsidDel="00C839FB">
        <w:rPr>
          <w:b w:val="0"/>
          <w:color w:val="auto"/>
          <w:sz w:val="22"/>
          <w:szCs w:val="22"/>
        </w:rPr>
        <w:t xml:space="preserve"> </w:t>
      </w:r>
      <w:r w:rsidRPr="00C839FB">
        <w:rPr>
          <w:b w:val="0"/>
          <w:color w:val="auto"/>
          <w:sz w:val="22"/>
          <w:szCs w:val="22"/>
        </w:rPr>
        <w:t>in pati</w:t>
      </w:r>
      <w:r>
        <w:rPr>
          <w:b w:val="0"/>
          <w:color w:val="auto"/>
          <w:sz w:val="22"/>
          <w:szCs w:val="22"/>
        </w:rPr>
        <w:t>ent’s city of primary residence</w:t>
      </w:r>
      <w:r w:rsidRPr="00E231CA">
        <w:rPr>
          <w:b w:val="0"/>
          <w:color w:val="auto"/>
          <w:sz w:val="22"/>
          <w:szCs w:val="22"/>
        </w:rPr>
        <w:t xml:space="preserve">.  </w:t>
      </w:r>
    </w:p>
    <w:p w14:paraId="2375ADA4" w14:textId="77777777" w:rsidR="00E109EB" w:rsidRDefault="00E109EB" w:rsidP="00E109EB">
      <w:pPr>
        <w:keepNext/>
      </w:pPr>
      <w:r>
        <w:rPr>
          <w:noProof/>
        </w:rPr>
        <w:drawing>
          <wp:inline distT="0" distB="0" distL="0" distR="0" wp14:anchorId="402A99B8" wp14:editId="3D57F8D7">
            <wp:extent cx="5943600" cy="5935477"/>
            <wp:effectExtent l="0" t="0" r="0" b="8255"/>
            <wp:docPr id="9" name="Picture 9" descr="H:\active research\water data\Lead in drinking water\Indicent esrd\JASN revision redone 3\FINAL REVISION MANUSCRIPT\Figure 4 On-dialysis 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ctive research\water data\Lead in drinking water\Indicent esrd\JASN revision redone 3\FINAL REVISION MANUSCRIPT\Figure 4 On-dialysis ES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2931" w14:textId="77777777" w:rsidR="00E109EB" w:rsidRDefault="00E109EB" w:rsidP="00E109EB">
      <w:r>
        <w:t xml:space="preserve">Supplemental figure 3. Adjusted difference in ESA use during the first month of dialysis, </w:t>
      </w:r>
      <w:r w:rsidRPr="00C839FB">
        <w:t>according to the 90</w:t>
      </w:r>
      <w:r w:rsidRPr="004746AE">
        <w:rPr>
          <w:vertAlign w:val="superscript"/>
        </w:rPr>
        <w:t>th</w:t>
      </w:r>
      <w:r>
        <w:t xml:space="preserve"> </w:t>
      </w:r>
      <w:r w:rsidRPr="00C839FB">
        <w:t xml:space="preserve">percentile drinking water lead concentration in patient’s city of primary residence. </w:t>
      </w:r>
      <w:r>
        <w:br w:type="page"/>
      </w:r>
    </w:p>
    <w:p w14:paraId="54C14090" w14:textId="66790731" w:rsidR="00E109EB" w:rsidRDefault="00E109EB" w:rsidP="00E109EB">
      <w:r>
        <w:br w:type="page"/>
      </w:r>
    </w:p>
    <w:p w14:paraId="3E5A02F7" w14:textId="77777777" w:rsidR="003F45E3" w:rsidRDefault="003F45E3"/>
    <w:sectPr w:rsidR="003F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42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23781" w14:textId="77777777" w:rsidR="00F76D1B" w:rsidRDefault="00E10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148432D" w14:textId="77777777" w:rsidR="00F76D1B" w:rsidRDefault="00E109E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5411A"/>
    <w:multiLevelType w:val="hybridMultilevel"/>
    <w:tmpl w:val="7D3E17B2"/>
    <w:lvl w:ilvl="0" w:tplc="6E922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A8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A4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EE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65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A2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27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43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02A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EB"/>
    <w:rsid w:val="003F45E3"/>
    <w:rsid w:val="00E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D324"/>
  <w15:chartTrackingRefBased/>
  <w15:docId w15:val="{310B4345-D23B-475F-BD36-CC7EBED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109E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EB"/>
  </w:style>
  <w:style w:type="paragraph" w:styleId="ListParagraph">
    <w:name w:val="List Paragraph"/>
    <w:basedOn w:val="Normal"/>
    <w:uiPriority w:val="34"/>
    <w:qFormat/>
    <w:rsid w:val="00E109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9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Cough</dc:creator>
  <cp:keywords/>
  <dc:description/>
  <cp:lastModifiedBy>Sydney Cough</cp:lastModifiedBy>
  <cp:revision>1</cp:revision>
  <dcterms:created xsi:type="dcterms:W3CDTF">2021-03-23T18:59:00Z</dcterms:created>
  <dcterms:modified xsi:type="dcterms:W3CDTF">2021-03-23T19:01:00Z</dcterms:modified>
</cp:coreProperties>
</file>